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611"/>
      </w:tblGrid>
      <w:tr w:rsidR="00E354FE" w14:paraId="49265507" w14:textId="77777777" w:rsidTr="00E354FE">
        <w:tc>
          <w:tcPr>
            <w:tcW w:w="4788" w:type="dxa"/>
          </w:tcPr>
          <w:p w14:paraId="20EADD92" w14:textId="48B79D85" w:rsidR="00E354FE" w:rsidRDefault="00E354FE" w:rsidP="00E354FE">
            <w:r>
              <w:rPr>
                <w:noProof/>
                <w:lang w:val="en-US" w:eastAsia="en-US"/>
              </w:rPr>
              <w:drawing>
                <wp:inline distT="0" distB="0" distL="0" distR="0" wp14:anchorId="45001DAD" wp14:editId="307F5A54">
                  <wp:extent cx="2647950" cy="1494592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047" cy="14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6D42DF9C" w14:textId="77777777" w:rsidR="00E354FE" w:rsidRPr="00E354FE" w:rsidRDefault="00E354FE" w:rsidP="00E354FE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E354FE">
              <w:rPr>
                <w:rFonts w:ascii="Book Antiqua" w:hAnsi="Book Antiqua"/>
                <w:sz w:val="28"/>
                <w:szCs w:val="28"/>
              </w:rPr>
              <w:t>Scoil</w:t>
            </w:r>
            <w:proofErr w:type="spellEnd"/>
            <w:r w:rsidRPr="00E354FE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E354FE">
              <w:rPr>
                <w:rFonts w:ascii="Book Antiqua" w:hAnsi="Book Antiqua"/>
                <w:sz w:val="28"/>
                <w:szCs w:val="28"/>
              </w:rPr>
              <w:t>Naomh</w:t>
            </w:r>
            <w:proofErr w:type="spellEnd"/>
            <w:r w:rsidRPr="00E354FE">
              <w:rPr>
                <w:rFonts w:ascii="Book Antiqua" w:hAnsi="Book Antiqua"/>
                <w:sz w:val="28"/>
                <w:szCs w:val="28"/>
              </w:rPr>
              <w:t xml:space="preserve"> Mhuire, Boher,</w:t>
            </w:r>
          </w:p>
          <w:p w14:paraId="39895F01" w14:textId="1D0F3639" w:rsidR="00E354FE" w:rsidRPr="00EF67CD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 w:rsidRPr="00EF67CD">
              <w:rPr>
                <w:rFonts w:ascii="Book Antiqua" w:hAnsi="Book Antiqua"/>
                <w:sz w:val="24"/>
                <w:szCs w:val="24"/>
              </w:rPr>
              <w:t>Muchgrange,</w:t>
            </w:r>
          </w:p>
          <w:p w14:paraId="660E829A" w14:textId="77777777" w:rsidR="00E354FE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Greenore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,</w:t>
            </w:r>
          </w:p>
          <w:p w14:paraId="55B53499" w14:textId="77777777" w:rsidR="00E354FE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Co. Louth</w:t>
            </w:r>
          </w:p>
          <w:p w14:paraId="23AFA594" w14:textId="6DDD4F85" w:rsidR="00E354FE" w:rsidRPr="00EF67CD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A91 DK09</w:t>
            </w:r>
          </w:p>
          <w:p w14:paraId="246FE9FF" w14:textId="5038DED0" w:rsidR="00E354FE" w:rsidRPr="00E354FE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 w:rsidRPr="00E354FE">
              <w:rPr>
                <w:rFonts w:ascii="Book Antiqua" w:hAnsi="Book Antiqua"/>
                <w:sz w:val="24"/>
                <w:szCs w:val="24"/>
              </w:rPr>
              <w:t xml:space="preserve">Principal: </w:t>
            </w:r>
            <w:r w:rsidR="002842E0">
              <w:rPr>
                <w:rFonts w:ascii="Book Antiqua" w:hAnsi="Book Antiqua"/>
                <w:sz w:val="24"/>
                <w:szCs w:val="24"/>
              </w:rPr>
              <w:t>Mr. Joseph McCrink</w:t>
            </w:r>
          </w:p>
          <w:p w14:paraId="74709D32" w14:textId="2AE6E176" w:rsidR="00E354FE" w:rsidRPr="00EF67CD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 w:rsidRPr="00EF67CD">
              <w:rPr>
                <w:rFonts w:ascii="Book Antiqua" w:hAnsi="Book Antiqua"/>
                <w:sz w:val="24"/>
                <w:szCs w:val="24"/>
              </w:rPr>
              <w:t>Telephone: 0429373604</w:t>
            </w:r>
          </w:p>
          <w:p w14:paraId="1F4B84E5" w14:textId="06F4CFC7" w:rsidR="00E354FE" w:rsidRPr="00EF67CD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 w:rsidRPr="00EF67CD">
              <w:rPr>
                <w:rFonts w:ascii="Book Antiqua" w:hAnsi="Book Antiqua"/>
                <w:sz w:val="24"/>
                <w:szCs w:val="24"/>
              </w:rPr>
              <w:t xml:space="preserve">Email: </w:t>
            </w:r>
            <w:r>
              <w:rPr>
                <w:rFonts w:ascii="Book Antiqua" w:hAnsi="Book Antiqua"/>
                <w:sz w:val="24"/>
                <w:szCs w:val="24"/>
              </w:rPr>
              <w:t>muchgrangens@gmail.com</w:t>
            </w:r>
          </w:p>
          <w:p w14:paraId="2F36173D" w14:textId="77777777" w:rsidR="00E354FE" w:rsidRPr="00E354FE" w:rsidRDefault="00E354FE" w:rsidP="00E354FE">
            <w:pPr>
              <w:rPr>
                <w:rFonts w:ascii="Book Antiqua" w:hAnsi="Book Antiqua"/>
                <w:sz w:val="24"/>
                <w:szCs w:val="24"/>
              </w:rPr>
            </w:pPr>
            <w:r w:rsidRPr="00EF67CD">
              <w:rPr>
                <w:rFonts w:ascii="Book Antiqua" w:hAnsi="Book Antiqua"/>
                <w:sz w:val="24"/>
                <w:szCs w:val="24"/>
              </w:rPr>
              <w:t>Website: www.boherns.ie</w:t>
            </w:r>
          </w:p>
        </w:tc>
      </w:tr>
    </w:tbl>
    <w:p w14:paraId="346A48CF" w14:textId="4722CF5B" w:rsidR="007D0696" w:rsidRDefault="00341F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A88D9" wp14:editId="62F97517">
                <wp:simplePos x="0" y="0"/>
                <wp:positionH relativeFrom="column">
                  <wp:posOffset>-371475</wp:posOffset>
                </wp:positionH>
                <wp:positionV relativeFrom="paragraph">
                  <wp:posOffset>1476375</wp:posOffset>
                </wp:positionV>
                <wp:extent cx="6677025" cy="6438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43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6EA8D" w14:textId="24A80FD0" w:rsidR="00341FD6" w:rsidRPr="003E2397" w:rsidRDefault="00341FD6" w:rsidP="00341FD6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4"/>
                                <w:szCs w:val="24"/>
                              </w:rPr>
                            </w:pPr>
                            <w:r w:rsidRPr="003E2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4"/>
                                <w:szCs w:val="24"/>
                              </w:rPr>
                              <w:t>Pupil Mobile Phone and Technology Policy</w:t>
                            </w:r>
                          </w:p>
                          <w:p w14:paraId="7C8124C5" w14:textId="77777777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Introductory Statement:</w:t>
                            </w:r>
                          </w:p>
                          <w:p w14:paraId="3EAA286F" w14:textId="0C796FCF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This policy was drawn up in response to technological advances, which have seen a significant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increase in electronic devices amongst the school population over recent years.</w:t>
                            </w:r>
                          </w:p>
                          <w:p w14:paraId="20DE0225" w14:textId="77777777" w:rsidR="00341FD6" w:rsidRPr="00341FD6" w:rsidRDefault="00341FD6" w:rsidP="003E23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Rationale:</w:t>
                            </w:r>
                          </w:p>
                          <w:p w14:paraId="5AD97504" w14:textId="386D76FF" w:rsidR="00341FD6" w:rsidRPr="00341FD6" w:rsidRDefault="00341FD6" w:rsidP="003E23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Strategies must be put in place to reduce the intrusiveness of unauthorised technology in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school situation</w:t>
                            </w:r>
                          </w:p>
                          <w:p w14:paraId="636AF437" w14:textId="77777777" w:rsidR="00341FD6" w:rsidRPr="00341FD6" w:rsidRDefault="00341FD6" w:rsidP="003E23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Some electronic devices may be harmful and impact on privacy rights</w:t>
                            </w:r>
                          </w:p>
                          <w:p w14:paraId="1927E0E9" w14:textId="77777777" w:rsidR="00341FD6" w:rsidRPr="00341FD6" w:rsidRDefault="00341FD6" w:rsidP="003E23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Relationship to School Ethos:</w:t>
                            </w:r>
                          </w:p>
                          <w:p w14:paraId="65550B12" w14:textId="69655398" w:rsidR="00341FD6" w:rsidRPr="00341FD6" w:rsidRDefault="00341FD6" w:rsidP="003E239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The use of mobile phones, internet enabled devices (</w:t>
                            </w:r>
                            <w:proofErr w:type="gram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smart watches) and other electronic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games contravenes the provision of a safe and secure school environment and is not conducive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learning - a provision which is central to the mission statement and ethos of </w:t>
                            </w:r>
                            <w:proofErr w:type="spell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Scoil</w:t>
                            </w:r>
                            <w:proofErr w:type="spell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Naomh</w:t>
                            </w:r>
                            <w:proofErr w:type="spell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Mhuire.</w:t>
                            </w:r>
                          </w:p>
                          <w:p w14:paraId="0A9692CD" w14:textId="77777777" w:rsidR="00341FD6" w:rsidRPr="00341FD6" w:rsidRDefault="00341FD6" w:rsidP="00341FD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Aims:</w:t>
                            </w:r>
                          </w:p>
                          <w:p w14:paraId="4D8A6D1B" w14:textId="77777777" w:rsidR="00341FD6" w:rsidRPr="00341FD6" w:rsidRDefault="00341FD6" w:rsidP="00341FD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To lessen intrusions on and distractions to children’s learning</w:t>
                            </w:r>
                          </w:p>
                          <w:p w14:paraId="52888C35" w14:textId="77777777" w:rsidR="00341FD6" w:rsidRPr="00341FD6" w:rsidRDefault="00341FD6" w:rsidP="00341FD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Internal School Procedures:</w:t>
                            </w:r>
                          </w:p>
                          <w:p w14:paraId="1C23696C" w14:textId="1139965C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The following are the guidelines for mobile phone/electronic games/smart watch usage in the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school;</w:t>
                            </w:r>
                            <w:proofErr w:type="gramEnd"/>
                          </w:p>
                          <w:p w14:paraId="5430C402" w14:textId="5910B9DC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Children are not allowed to use of mobile phones/electronic games/ smart watches during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school hours</w:t>
                            </w:r>
                          </w:p>
                          <w:p w14:paraId="5C28B3F8" w14:textId="401AE5A7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• Pupils are not allowed to bring mobile phones, smart </w:t>
                            </w:r>
                            <w:proofErr w:type="gram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watches</w:t>
                            </w:r>
                            <w:proofErr w:type="gram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or electronic games into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school. In exceptional circumstances, such as when out of school activities and after school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games are scheduled, school tours etc., children may be allowed carry a phone as parents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may need to be contacted</w:t>
                            </w:r>
                          </w:p>
                          <w:p w14:paraId="614D5D70" w14:textId="1F9CB911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Children who need to contact home during school hours may do so through the school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secretary using the school landline phone</w:t>
                            </w:r>
                          </w:p>
                          <w:p w14:paraId="70068081" w14:textId="77777777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• All electronic gadgets are banned, even during </w:t>
                            </w:r>
                            <w:proofErr w:type="spell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af</w:t>
                            </w:r>
                            <w:proofErr w:type="spell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ter</w:t>
                            </w:r>
                            <w:proofErr w:type="spell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school activities</w:t>
                            </w:r>
                          </w:p>
                          <w:p w14:paraId="01FE7669" w14:textId="0A7C27E8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Any pupil who brings a mobile phone, smart watch or electronic game will have it stored in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the office and returned when the school day is over</w:t>
                            </w:r>
                          </w:p>
                          <w:p w14:paraId="23ADCC04" w14:textId="5813A5E7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• Staf f have access to the school landline if urgent calls need to be made to parents</w:t>
                            </w:r>
                          </w:p>
                          <w:p w14:paraId="5D788A32" w14:textId="77777777" w:rsidR="00341FD6" w:rsidRPr="003E2397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E2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Roles and Responsibilities:</w:t>
                            </w:r>
                          </w:p>
                          <w:p w14:paraId="745A8AB6" w14:textId="7C3D895E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proofErr w:type="gramStart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sta</w:t>
                            </w:r>
                            <w:r w:rsidR="003E2397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ff </w:t>
                            </w: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share</w:t>
                            </w:r>
                            <w:proofErr w:type="gramEnd"/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 xml:space="preserve"> in the co-ordination and implementation of this policy.</w:t>
                            </w:r>
                          </w:p>
                          <w:p w14:paraId="50884D32" w14:textId="77777777" w:rsidR="00341FD6" w:rsidRPr="003E2397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E2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Evaluation:</w:t>
                            </w:r>
                          </w:p>
                          <w:p w14:paraId="459222B5" w14:textId="5FCBCCAA" w:rsidR="00341FD6" w:rsidRPr="00341FD6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This policy is monitored on an ongoing basis and amendments added as new technology comes onstream.</w:t>
                            </w:r>
                          </w:p>
                          <w:p w14:paraId="0A1505D8" w14:textId="77777777" w:rsidR="003E2397" w:rsidRDefault="003E2397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</w:pPr>
                          </w:p>
                          <w:p w14:paraId="124A55B2" w14:textId="287776CB" w:rsidR="00341FD6" w:rsidRPr="003E2397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</w:pPr>
                            <w:r w:rsidRPr="003E2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F4F4F"/>
                                <w:sz w:val="20"/>
                                <w:szCs w:val="20"/>
                              </w:rPr>
                              <w:t>Implementation:</w:t>
                            </w:r>
                          </w:p>
                          <w:p w14:paraId="65761231" w14:textId="48C63C45" w:rsidR="001A654E" w:rsidRPr="001A654E" w:rsidRDefault="00341FD6" w:rsidP="00341FD6">
                            <w:pPr>
                              <w:spacing w:before="100" w:after="10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1FD6">
                              <w:rPr>
                                <w:rFonts w:ascii="Times New Roman" w:eastAsia="Times New Roman" w:hAnsi="Times New Roman" w:cs="Times New Roman"/>
                                <w:color w:val="2F4F4F"/>
                                <w:sz w:val="20"/>
                                <w:szCs w:val="20"/>
                              </w:rPr>
                              <w:t>This policy has been reviewed in January 2019</w:t>
                            </w:r>
                          </w:p>
                          <w:p w14:paraId="1F0C938B" w14:textId="77777777" w:rsidR="001A654E" w:rsidRDefault="001A654E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42C58DB" w14:textId="1459C737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33C53E8" w14:textId="4C6BDDB2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124DD83" w14:textId="5E52E15A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C9C0FB7" w14:textId="7A13A709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EFBF004" w14:textId="0233AB17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3373879" w14:textId="487E2664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A93B028" w14:textId="7ED9C299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30B6025" w14:textId="667428F5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1541DB8" w14:textId="6304D6BC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4BAEE1A8" w14:textId="0F13D170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6565C48" w14:textId="3A1ED82D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4C57FBA8" w14:textId="3EA2511C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40E843F" w14:textId="6BF4665C" w:rsidR="009C4FA8" w:rsidRDefault="009C4FA8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A07D2D5" w14:textId="77777777" w:rsidR="009C4FA8" w:rsidRDefault="009C4FA8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BE3316C" w14:textId="75EBBE65" w:rsidR="002842E0" w:rsidRDefault="002842E0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FF41170" w14:textId="014DF37F" w:rsidR="002842E0" w:rsidRDefault="002842E0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68301B7" w14:textId="03001F43" w:rsidR="002842E0" w:rsidRPr="002842E0" w:rsidRDefault="002842E0" w:rsidP="002842E0">
                            <w:pPr>
                              <w:jc w:val="center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2842E0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Roll No. 18034Q</w:t>
                            </w:r>
                          </w:p>
                          <w:p w14:paraId="475F5C85" w14:textId="306D34FB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89652C7" w14:textId="69F29513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A4DF29D" w14:textId="3B613C6A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C577E02" w14:textId="6389E1D9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3BAA3AD8" w14:textId="0CA0315C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892556F" w14:textId="20E47A50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835139E" w14:textId="273E9C52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7FFBC73" w14:textId="18ED4645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1AD8B46" w14:textId="59C4DDD6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07F39AC" w14:textId="5BD48101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265F795" w14:textId="1CD7B80B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ABC3838" w14:textId="41C58BFE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2986C55" w14:textId="3C80E9A6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389046F1" w14:textId="11FE69E3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830F73D" w14:textId="3989CDD4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6AA22B7" w14:textId="7802CB7A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E44F10C" w14:textId="55E01839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10E2BC2" w14:textId="67B17E47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F464A9A" w14:textId="66A8C37E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360B8E6" w14:textId="60A2409F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4B95F159" w14:textId="5258B826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309D7B53" w14:textId="2490D9C0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3FE4FDF" w14:textId="2E4B15E6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193E403" w14:textId="719EF731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A7E042A" w14:textId="4F72B8B7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7F252F40" w14:textId="5092A43C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4B3608C" w14:textId="108BB108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A132F09" w14:textId="2D004FC7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001412A" w14:textId="4B2DA0C1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307CE44E" w14:textId="77777777" w:rsidR="00AB2223" w:rsidRDefault="00AB2223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CF77CE6" w14:textId="4BCFF972" w:rsidR="007E25A0" w:rsidRPr="007E25A0" w:rsidRDefault="007E25A0" w:rsidP="007E25A0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A8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116.25pt;width:525.75pt;height:5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">
                <v:textbox>
                  <w:txbxContent>
                    <w:p w14:paraId="76A6EA8D" w14:textId="24A80FD0" w:rsidR="00341FD6" w:rsidRPr="003E2397" w:rsidRDefault="00341FD6" w:rsidP="00341FD6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4"/>
                          <w:szCs w:val="24"/>
                        </w:rPr>
                      </w:pPr>
                      <w:r w:rsidRPr="003E239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4"/>
                          <w:szCs w:val="24"/>
                        </w:rPr>
                        <w:t>Pupil Mobile Phone and Technology Policy</w:t>
                      </w:r>
                    </w:p>
                    <w:p w14:paraId="7C8124C5" w14:textId="77777777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Introductory Statement:</w:t>
                      </w:r>
                    </w:p>
                    <w:p w14:paraId="3EAA286F" w14:textId="0C796FCF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This policy was drawn up in response to technological advances, which have seen a significant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increase in electronic devices amongst the school population over recent years.</w:t>
                      </w:r>
                    </w:p>
                    <w:p w14:paraId="20DE0225" w14:textId="77777777" w:rsidR="00341FD6" w:rsidRPr="00341FD6" w:rsidRDefault="00341FD6" w:rsidP="003E239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Rationale:</w:t>
                      </w:r>
                    </w:p>
                    <w:p w14:paraId="5AD97504" w14:textId="386D76FF" w:rsidR="00341FD6" w:rsidRPr="00341FD6" w:rsidRDefault="00341FD6" w:rsidP="003E239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Strategies must be put in place to reduce the intrusiveness of unauthorised technology in 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school situation</w:t>
                      </w:r>
                    </w:p>
                    <w:p w14:paraId="636AF437" w14:textId="77777777" w:rsidR="00341FD6" w:rsidRPr="00341FD6" w:rsidRDefault="00341FD6" w:rsidP="003E239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Some electronic devices may be harmful and impact on privacy rights</w:t>
                      </w:r>
                    </w:p>
                    <w:p w14:paraId="1927E0E9" w14:textId="77777777" w:rsidR="00341FD6" w:rsidRPr="00341FD6" w:rsidRDefault="00341FD6" w:rsidP="003E239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Relationship to School Ethos:</w:t>
                      </w:r>
                    </w:p>
                    <w:p w14:paraId="65550B12" w14:textId="69655398" w:rsidR="00341FD6" w:rsidRPr="00341FD6" w:rsidRDefault="00341FD6" w:rsidP="003E239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The use of mobile phones, internet enabled devices (</w:t>
                      </w:r>
                      <w:proofErr w:type="gram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smart watches) and other electronic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games contravenes the provision of a safe and secure school environment and is not conducive 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learning - a provision which is central to the mission statement and ethos of Scoil </w:t>
                      </w:r>
                      <w:proofErr w:type="spell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Naomh</w:t>
                      </w:r>
                      <w:proofErr w:type="spellEnd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Mhuire.</w:t>
                      </w:r>
                    </w:p>
                    <w:p w14:paraId="0A9692CD" w14:textId="77777777" w:rsidR="00341FD6" w:rsidRPr="00341FD6" w:rsidRDefault="00341FD6" w:rsidP="00341FD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Aims:</w:t>
                      </w:r>
                    </w:p>
                    <w:p w14:paraId="4D8A6D1B" w14:textId="77777777" w:rsidR="00341FD6" w:rsidRPr="00341FD6" w:rsidRDefault="00341FD6" w:rsidP="00341FD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To lessen intrusions on and distractions to children’s learning</w:t>
                      </w:r>
                    </w:p>
                    <w:p w14:paraId="52888C35" w14:textId="77777777" w:rsidR="00341FD6" w:rsidRPr="00341FD6" w:rsidRDefault="00341FD6" w:rsidP="00341FD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Internal School Procedures:</w:t>
                      </w:r>
                    </w:p>
                    <w:p w14:paraId="1C23696C" w14:textId="1139965C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The following are the guidelines for mobile phone/electronic games/smart watch usage in the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school;</w:t>
                      </w:r>
                      <w:proofErr w:type="gramEnd"/>
                    </w:p>
                    <w:p w14:paraId="5430C402" w14:textId="5910B9DC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Children are not allowed to use of mobile phones/electronic games/ smart watches during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school hours</w:t>
                      </w:r>
                    </w:p>
                    <w:p w14:paraId="5C28B3F8" w14:textId="401AE5A7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• Pupils are not allowed to bring mobile phones, smart </w:t>
                      </w:r>
                      <w:proofErr w:type="gram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watches</w:t>
                      </w:r>
                      <w:proofErr w:type="gramEnd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or electronic games into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school. In exceptional circumstances, such as when out of school activities and after school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games are scheduled, school tours etc., children may be allowed carry a phone as parents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may need to be contacted</w:t>
                      </w:r>
                    </w:p>
                    <w:p w14:paraId="614D5D70" w14:textId="1F9CB911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Children who need to contact home during school hours may do so through the school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secretary using the school landline phone</w:t>
                      </w:r>
                    </w:p>
                    <w:p w14:paraId="70068081" w14:textId="77777777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• All electronic gadgets are banned, even during </w:t>
                      </w:r>
                      <w:proofErr w:type="spell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af</w:t>
                      </w:r>
                      <w:proofErr w:type="spellEnd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ter</w:t>
                      </w:r>
                      <w:proofErr w:type="spellEnd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school activities</w:t>
                      </w:r>
                    </w:p>
                    <w:p w14:paraId="01FE7669" w14:textId="0A7C27E8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Any pupil who brings a mobile phone, smart watch or electronic game will have it stored in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the office and returned when the school day is over</w:t>
                      </w:r>
                    </w:p>
                    <w:p w14:paraId="23ADCC04" w14:textId="5813A5E7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• Staf f have access to the school landline if urgent calls need to be made to parents</w:t>
                      </w:r>
                    </w:p>
                    <w:p w14:paraId="5D788A32" w14:textId="77777777" w:rsidR="00341FD6" w:rsidRPr="003E2397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E239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Roles and Responsibilities:</w:t>
                      </w:r>
                    </w:p>
                    <w:p w14:paraId="745A8AB6" w14:textId="7C3D895E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All </w:t>
                      </w:r>
                      <w:proofErr w:type="gramStart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sta</w:t>
                      </w:r>
                      <w:r w:rsidR="003E2397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ff </w:t>
                      </w: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share</w:t>
                      </w:r>
                      <w:proofErr w:type="gramEnd"/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 xml:space="preserve"> in the co-ordination and implementation of this policy.</w:t>
                      </w:r>
                    </w:p>
                    <w:p w14:paraId="50884D32" w14:textId="77777777" w:rsidR="00341FD6" w:rsidRPr="003E2397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E239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Evaluation:</w:t>
                      </w:r>
                    </w:p>
                    <w:p w14:paraId="459222B5" w14:textId="5FCBCCAA" w:rsidR="00341FD6" w:rsidRPr="00341FD6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This policy is monitored on an ongoing basis and amendments added as new technology comes onstream.</w:t>
                      </w:r>
                    </w:p>
                    <w:p w14:paraId="0A1505D8" w14:textId="77777777" w:rsidR="003E2397" w:rsidRDefault="003E2397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</w:pPr>
                    </w:p>
                    <w:p w14:paraId="124A55B2" w14:textId="287776CB" w:rsidR="00341FD6" w:rsidRPr="003E2397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</w:pPr>
                      <w:r w:rsidRPr="003E2397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F4F4F"/>
                          <w:sz w:val="20"/>
                          <w:szCs w:val="20"/>
                        </w:rPr>
                        <w:t>Implementation:</w:t>
                      </w:r>
                    </w:p>
                    <w:p w14:paraId="65761231" w14:textId="48C63C45" w:rsidR="001A654E" w:rsidRPr="001A654E" w:rsidRDefault="00341FD6" w:rsidP="00341FD6">
                      <w:pPr>
                        <w:spacing w:before="100" w:after="10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41FD6">
                        <w:rPr>
                          <w:rFonts w:ascii="Times New Roman" w:eastAsia="Times New Roman" w:hAnsi="Times New Roman" w:cs="Times New Roman"/>
                          <w:color w:val="2F4F4F"/>
                          <w:sz w:val="20"/>
                          <w:szCs w:val="20"/>
                        </w:rPr>
                        <w:t>This policy has been reviewed in January 2019</w:t>
                      </w:r>
                    </w:p>
                    <w:p w14:paraId="1F0C938B" w14:textId="77777777" w:rsidR="001A654E" w:rsidRDefault="001A654E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42C58DB" w14:textId="1459C737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33C53E8" w14:textId="4C6BDDB2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124DD83" w14:textId="5E52E15A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2C9C0FB7" w14:textId="7A13A709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EFBF004" w14:textId="0233AB17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3373879" w14:textId="487E2664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2A93B028" w14:textId="7ED9C299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30B6025" w14:textId="667428F5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1541DB8" w14:textId="6304D6BC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4BAEE1A8" w14:textId="0F13D170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6565C48" w14:textId="3A1ED82D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4C57FBA8" w14:textId="3EA2511C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40E843F" w14:textId="6BF4665C" w:rsidR="009C4FA8" w:rsidRDefault="009C4FA8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A07D2D5" w14:textId="77777777" w:rsidR="009C4FA8" w:rsidRDefault="009C4FA8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BE3316C" w14:textId="75EBBE65" w:rsidR="002842E0" w:rsidRDefault="002842E0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FF41170" w14:textId="014DF37F" w:rsidR="002842E0" w:rsidRDefault="002842E0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268301B7" w14:textId="03001F43" w:rsidR="002842E0" w:rsidRPr="002842E0" w:rsidRDefault="002842E0" w:rsidP="002842E0">
                      <w:pPr>
                        <w:jc w:val="center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 w:rsidRPr="002842E0">
                        <w:rPr>
                          <w:rFonts w:ascii="Book Antiqua" w:hAnsi="Book Antiqua"/>
                          <w:sz w:val="16"/>
                          <w:szCs w:val="16"/>
                        </w:rPr>
                        <w:t>Roll No. 18034Q</w:t>
                      </w:r>
                    </w:p>
                    <w:p w14:paraId="475F5C85" w14:textId="306D34FB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89652C7" w14:textId="69F29513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A4DF29D" w14:textId="3B613C6A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C577E02" w14:textId="6389E1D9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3BAA3AD8" w14:textId="0CA0315C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892556F" w14:textId="20E47A50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835139E" w14:textId="273E9C52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27FFBC73" w14:textId="18ED4645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1AD8B46" w14:textId="59C4DDD6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07F39AC" w14:textId="5BD48101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265F795" w14:textId="1CD7B80B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ABC3838" w14:textId="41C58BFE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2986C55" w14:textId="3C80E9A6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389046F1" w14:textId="11FE69E3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830F73D" w14:textId="3989CDD4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6AA22B7" w14:textId="7802CB7A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E44F10C" w14:textId="55E01839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10E2BC2" w14:textId="67B17E47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F464A9A" w14:textId="66A8C37E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360B8E6" w14:textId="60A2409F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4B95F159" w14:textId="5258B826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309D7B53" w14:textId="2490D9C0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63FE4FDF" w14:textId="2E4B15E6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193E403" w14:textId="719EF731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A7E042A" w14:textId="4F72B8B7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7F252F40" w14:textId="5092A43C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24B3608C" w14:textId="108BB108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A132F09" w14:textId="2D004FC7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0001412A" w14:textId="4B2DA0C1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307CE44E" w14:textId="77777777" w:rsidR="00AB2223" w:rsidRDefault="00AB2223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CF77CE6" w14:textId="4BCFF972" w:rsidR="007E25A0" w:rsidRPr="007E25A0" w:rsidRDefault="007E25A0" w:rsidP="007E25A0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0696" w:rsidSect="007D5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8B"/>
    <w:multiLevelType w:val="multilevel"/>
    <w:tmpl w:val="E9D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12AE6"/>
    <w:multiLevelType w:val="multilevel"/>
    <w:tmpl w:val="C82C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96696"/>
    <w:multiLevelType w:val="hybridMultilevel"/>
    <w:tmpl w:val="45F639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C37D3"/>
    <w:multiLevelType w:val="multilevel"/>
    <w:tmpl w:val="ABFC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30EFA"/>
    <w:multiLevelType w:val="hybridMultilevel"/>
    <w:tmpl w:val="DBC837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415C9"/>
    <w:multiLevelType w:val="multilevel"/>
    <w:tmpl w:val="05444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146B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2668503">
    <w:abstractNumId w:val="5"/>
  </w:num>
  <w:num w:numId="2" w16cid:durableId="1256211453">
    <w:abstractNumId w:val="1"/>
  </w:num>
  <w:num w:numId="3" w16cid:durableId="1495488426">
    <w:abstractNumId w:val="0"/>
  </w:num>
  <w:num w:numId="4" w16cid:durableId="1124664631">
    <w:abstractNumId w:val="3"/>
  </w:num>
  <w:num w:numId="5" w16cid:durableId="1166017371">
    <w:abstractNumId w:val="2"/>
  </w:num>
  <w:num w:numId="6" w16cid:durableId="2090730760">
    <w:abstractNumId w:val="4"/>
  </w:num>
  <w:num w:numId="7" w16cid:durableId="121296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CA"/>
    <w:rsid w:val="000018FA"/>
    <w:rsid w:val="00034000"/>
    <w:rsid w:val="0003740A"/>
    <w:rsid w:val="00055C1A"/>
    <w:rsid w:val="000611B2"/>
    <w:rsid w:val="00070F11"/>
    <w:rsid w:val="0009289E"/>
    <w:rsid w:val="000B0A9F"/>
    <w:rsid w:val="000C0753"/>
    <w:rsid w:val="000C31B7"/>
    <w:rsid w:val="000D2894"/>
    <w:rsid w:val="001265E4"/>
    <w:rsid w:val="0013579D"/>
    <w:rsid w:val="00142EF9"/>
    <w:rsid w:val="00172C10"/>
    <w:rsid w:val="001A654E"/>
    <w:rsid w:val="001C1353"/>
    <w:rsid w:val="001C6779"/>
    <w:rsid w:val="001C7D73"/>
    <w:rsid w:val="001D4043"/>
    <w:rsid w:val="001D4116"/>
    <w:rsid w:val="001E605C"/>
    <w:rsid w:val="001E771C"/>
    <w:rsid w:val="001F6830"/>
    <w:rsid w:val="00213DBD"/>
    <w:rsid w:val="0022434F"/>
    <w:rsid w:val="002320A0"/>
    <w:rsid w:val="002365D3"/>
    <w:rsid w:val="00263340"/>
    <w:rsid w:val="00264613"/>
    <w:rsid w:val="002668CA"/>
    <w:rsid w:val="00270684"/>
    <w:rsid w:val="002842E0"/>
    <w:rsid w:val="0029232A"/>
    <w:rsid w:val="002B516B"/>
    <w:rsid w:val="002C2A9E"/>
    <w:rsid w:val="002D5A0E"/>
    <w:rsid w:val="002F42CE"/>
    <w:rsid w:val="00323990"/>
    <w:rsid w:val="00341897"/>
    <w:rsid w:val="00341FD6"/>
    <w:rsid w:val="003470DA"/>
    <w:rsid w:val="00360BFC"/>
    <w:rsid w:val="00375B15"/>
    <w:rsid w:val="003B5522"/>
    <w:rsid w:val="003C1A42"/>
    <w:rsid w:val="003C6202"/>
    <w:rsid w:val="003E2397"/>
    <w:rsid w:val="0041052F"/>
    <w:rsid w:val="00424874"/>
    <w:rsid w:val="004605B1"/>
    <w:rsid w:val="00496D77"/>
    <w:rsid w:val="004C4053"/>
    <w:rsid w:val="004F734B"/>
    <w:rsid w:val="00515865"/>
    <w:rsid w:val="0052748D"/>
    <w:rsid w:val="00553C3F"/>
    <w:rsid w:val="00565588"/>
    <w:rsid w:val="00572BD0"/>
    <w:rsid w:val="005B2E10"/>
    <w:rsid w:val="005B5AAE"/>
    <w:rsid w:val="005D7773"/>
    <w:rsid w:val="006164C4"/>
    <w:rsid w:val="00627C4F"/>
    <w:rsid w:val="00642136"/>
    <w:rsid w:val="00645373"/>
    <w:rsid w:val="006852E2"/>
    <w:rsid w:val="00685CEC"/>
    <w:rsid w:val="006C0942"/>
    <w:rsid w:val="00746AB5"/>
    <w:rsid w:val="007518A3"/>
    <w:rsid w:val="0075396A"/>
    <w:rsid w:val="00763B16"/>
    <w:rsid w:val="007642C2"/>
    <w:rsid w:val="00765A23"/>
    <w:rsid w:val="00787C3E"/>
    <w:rsid w:val="007A5555"/>
    <w:rsid w:val="007C1AD2"/>
    <w:rsid w:val="007D0696"/>
    <w:rsid w:val="007D531A"/>
    <w:rsid w:val="007E25A0"/>
    <w:rsid w:val="0080016C"/>
    <w:rsid w:val="00804E86"/>
    <w:rsid w:val="00824CFB"/>
    <w:rsid w:val="00845C2A"/>
    <w:rsid w:val="0086436D"/>
    <w:rsid w:val="0087170C"/>
    <w:rsid w:val="008F362A"/>
    <w:rsid w:val="00964C23"/>
    <w:rsid w:val="00967474"/>
    <w:rsid w:val="00996161"/>
    <w:rsid w:val="00997EAC"/>
    <w:rsid w:val="009B3A74"/>
    <w:rsid w:val="009C4FA8"/>
    <w:rsid w:val="009D6665"/>
    <w:rsid w:val="009E71C4"/>
    <w:rsid w:val="009F4083"/>
    <w:rsid w:val="00A266B2"/>
    <w:rsid w:val="00A36DD5"/>
    <w:rsid w:val="00A44623"/>
    <w:rsid w:val="00A515F6"/>
    <w:rsid w:val="00A80CB2"/>
    <w:rsid w:val="00A93A30"/>
    <w:rsid w:val="00A95E6C"/>
    <w:rsid w:val="00AB2223"/>
    <w:rsid w:val="00AE7CD5"/>
    <w:rsid w:val="00B1042E"/>
    <w:rsid w:val="00B41802"/>
    <w:rsid w:val="00B47A7C"/>
    <w:rsid w:val="00B54A55"/>
    <w:rsid w:val="00B71B16"/>
    <w:rsid w:val="00B80485"/>
    <w:rsid w:val="00B83CB0"/>
    <w:rsid w:val="00B9536C"/>
    <w:rsid w:val="00BA3DDB"/>
    <w:rsid w:val="00BB49BC"/>
    <w:rsid w:val="00BB53D0"/>
    <w:rsid w:val="00BE4705"/>
    <w:rsid w:val="00BF5289"/>
    <w:rsid w:val="00C20F7B"/>
    <w:rsid w:val="00C22C8C"/>
    <w:rsid w:val="00C81BFB"/>
    <w:rsid w:val="00C94C7A"/>
    <w:rsid w:val="00CD1E77"/>
    <w:rsid w:val="00CD34CE"/>
    <w:rsid w:val="00CF6473"/>
    <w:rsid w:val="00D157F6"/>
    <w:rsid w:val="00D24D5A"/>
    <w:rsid w:val="00D45732"/>
    <w:rsid w:val="00D45871"/>
    <w:rsid w:val="00D50D49"/>
    <w:rsid w:val="00D51EE8"/>
    <w:rsid w:val="00D64186"/>
    <w:rsid w:val="00D80BA9"/>
    <w:rsid w:val="00D915AF"/>
    <w:rsid w:val="00D934E4"/>
    <w:rsid w:val="00DC6503"/>
    <w:rsid w:val="00DD2B04"/>
    <w:rsid w:val="00DE3B95"/>
    <w:rsid w:val="00E00FFA"/>
    <w:rsid w:val="00E1476E"/>
    <w:rsid w:val="00E354FE"/>
    <w:rsid w:val="00E42E9B"/>
    <w:rsid w:val="00E45FD8"/>
    <w:rsid w:val="00E53E9F"/>
    <w:rsid w:val="00E60AB4"/>
    <w:rsid w:val="00E632AB"/>
    <w:rsid w:val="00EF67CD"/>
    <w:rsid w:val="00FB3FFE"/>
    <w:rsid w:val="00FB706D"/>
    <w:rsid w:val="00FC0E95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B4E"/>
  <w15:docId w15:val="{53982FDB-48E3-4B37-B441-0901622F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0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68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3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D06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D069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6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5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039E5-5E12-4CAC-A18B-3EFE76CC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Joe McCrink</cp:lastModifiedBy>
  <cp:revision>2</cp:revision>
  <cp:lastPrinted>2022-09-06T12:55:00Z</cp:lastPrinted>
  <dcterms:created xsi:type="dcterms:W3CDTF">2022-09-14T09:19:00Z</dcterms:created>
  <dcterms:modified xsi:type="dcterms:W3CDTF">2022-09-14T09:19:00Z</dcterms:modified>
</cp:coreProperties>
</file>